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7 (Financial Difficulties)</w:t>
      </w:r>
    </w:p>
    <w:p w:rsidR="00000000" w:rsidDel="00000000" w:rsidP="00000000" w:rsidRDefault="00000000" w:rsidRPr="00000000" w14:paraId="0000000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7560.0" w:type="dxa"/>
        <w:jc w:val="left"/>
        <w:tblInd w:w="1008.0" w:type="dxa"/>
        <w:tblLayout w:type="fixed"/>
        <w:tblLook w:val="0000"/>
      </w:tblPr>
      <w:tblGrid>
        <w:gridCol w:w="2462"/>
        <w:gridCol w:w="5098"/>
        <w:tblGridChange w:id="0">
          <w:tblGrid>
            <w:gridCol w:w="2462"/>
            <w:gridCol w:w="5098"/>
          </w:tblGrid>
        </w:tblGridChange>
      </w:tblGrid>
      <w:tr>
        <w:trPr>
          <w:cantSplit w:val="0"/>
          <w:tblHeader w:val="0"/>
        </w:trPr>
        <w:tc>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Threshold"</w:t>
            </w:r>
          </w:p>
        </w:tc>
        <w:tc>
          <w:tcPr/>
          <w:p w:rsidR="00000000" w:rsidDel="00000000" w:rsidP="00000000" w:rsidRDefault="00000000" w:rsidRPr="00000000" w14:paraId="0000000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minimum credit rating level for the Monitored Company as set out in Annex 2 and</w:t>
            </w:r>
          </w:p>
        </w:tc>
      </w:tr>
      <w:tr>
        <w:trPr>
          <w:cantSplit w:val="0"/>
          <w:tblHeader w:val="0"/>
        </w:trPr>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Event"</w:t>
            </w:r>
          </w:p>
        </w:tc>
        <w:tc>
          <w:tcPr/>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occurrence or one or more of the following events:</w:t>
            </w:r>
          </w:p>
          <w:p w:rsidR="00000000" w:rsidDel="00000000" w:rsidP="00000000" w:rsidRDefault="00000000" w:rsidRPr="00000000" w14:paraId="0000000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credit rating of the Monitored Company dropping below the applicable Credit Rating Threshold;</w:t>
            </w:r>
          </w:p>
          <w:p w:rsidR="00000000" w:rsidDel="00000000" w:rsidP="00000000" w:rsidRDefault="00000000" w:rsidRPr="00000000" w14:paraId="0000000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Monitored Company issuing a profits warning to a stock exchange or making any other public announcement about a material deterioration in its financial position or prospects;</w:t>
            </w:r>
          </w:p>
          <w:p w:rsidR="00000000" w:rsidDel="00000000" w:rsidP="00000000" w:rsidRDefault="00000000" w:rsidRPr="00000000" w14:paraId="0000000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being a public investigation into improper financial accounting and reporting, suspected fraud or any other impropriety of the Monitored Party; </w:t>
            </w:r>
          </w:p>
          <w:p w:rsidR="00000000" w:rsidDel="00000000" w:rsidP="00000000" w:rsidRDefault="00000000" w:rsidRPr="00000000" w14:paraId="0000000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Monitored Company committing a material breach of covenant to its lenders; </w:t>
            </w:r>
          </w:p>
          <w:p w:rsidR="00000000" w:rsidDel="00000000" w:rsidP="00000000" w:rsidRDefault="00000000" w:rsidRPr="00000000" w14:paraId="0000000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Key Subcontractor (where applicable) notifying CCS that the Supplier has not satisfied any sums properly due under a specified invoice and not subject to a genuine dispute; or</w:t>
            </w:r>
          </w:p>
          <w:p w:rsidR="00000000" w:rsidDel="00000000" w:rsidP="00000000" w:rsidRDefault="00000000" w:rsidRPr="00000000" w14:paraId="0000000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w:t>
            </w:r>
          </w:p>
          <w:p w:rsidR="00000000" w:rsidDel="00000000" w:rsidP="00000000" w:rsidRDefault="00000000" w:rsidRPr="00000000" w14:paraId="0000000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commencement of any litigation against the Monitored Company with respect to financial indebtedness or obligations under a contract; </w:t>
            </w:r>
          </w:p>
          <w:p w:rsidR="00000000" w:rsidDel="00000000" w:rsidP="00000000" w:rsidRDefault="00000000" w:rsidRPr="00000000" w14:paraId="0000000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non-payment by the Monitored Company of any financial indebtedness;</w:t>
            </w:r>
          </w:p>
          <w:p w:rsidR="00000000" w:rsidDel="00000000" w:rsidP="00000000" w:rsidRDefault="00000000" w:rsidRPr="00000000" w14:paraId="0000001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financial indebtedness of the Monitored Company becoming due as a result of an event of default; or</w:t>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cancellation or suspension of any financial indebtedness in respect of the Monitored Company</w:t>
            </w:r>
          </w:p>
          <w:p w:rsidR="00000000" w:rsidDel="00000000" w:rsidP="00000000" w:rsidRDefault="00000000" w:rsidRPr="00000000" w14:paraId="0000001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each case which CCS reasonably believes (or would be likely reasonably to believe) could directly impact on the continued performance of any Contract and delivery of the Deliverables in accordance with any Call-Off Contract;</w:t>
            </w:r>
          </w:p>
        </w:tc>
      </w:tr>
      <w:tr>
        <w:trPr>
          <w:cantSplit w:val="0"/>
          <w:tblHeader w:val="0"/>
        </w:trPr>
        <w:tc>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Service Continuity Plan"</w:t>
            </w:r>
          </w:p>
        </w:tc>
        <w:tc>
          <w:tcPr/>
          <w:p w:rsidR="00000000" w:rsidDel="00000000" w:rsidP="00000000" w:rsidRDefault="00000000" w:rsidRPr="00000000" w14:paraId="0000001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setting out how the Supplier will ensure the continued performance and delivery of the Deliverables in accordance with [each Call-Off] Contract in the event that a Financial Distress Event occurs;</w:t>
            </w:r>
          </w:p>
        </w:tc>
      </w:tr>
      <w:tr>
        <w:trPr>
          <w:cantSplit w:val="0"/>
          <w:tblHeader w:val="0"/>
        </w:trPr>
        <w:tc>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“Monitored Company”</w:t>
            </w:r>
          </w:p>
        </w:tc>
        <w:tc>
          <w:tcPr/>
          <w:p w:rsidR="00000000" w:rsidDel="00000000" w:rsidP="00000000" w:rsidRDefault="00000000" w:rsidRPr="00000000" w14:paraId="0000001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Guarantor] or any Key Subcontractor]</w:t>
            </w:r>
            <w:r w:rsidDel="00000000" w:rsidR="00000000" w:rsidRPr="00000000">
              <w:rPr>
                <w:rtl w:val="0"/>
              </w:rPr>
            </w:r>
          </w:p>
        </w:tc>
      </w:tr>
      <w:tr>
        <w:trPr>
          <w:cantSplit w:val="0"/>
          <w:tblHeader w:val="0"/>
        </w:trPr>
        <w:tc>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"Rating Agencies"</w:t>
            </w:r>
          </w:p>
        </w:tc>
        <w:tc>
          <w:tcPr/>
          <w:p w:rsidR="00000000" w:rsidDel="00000000" w:rsidP="00000000" w:rsidRDefault="00000000" w:rsidRPr="00000000" w14:paraId="0000001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rating agencies listed in Annex 1.</w:t>
            </w:r>
          </w:p>
        </w:tc>
      </w:tr>
    </w:tbl>
    <w:p w:rsidR="00000000" w:rsidDel="00000000" w:rsidP="00000000" w:rsidRDefault="00000000" w:rsidRPr="00000000" w14:paraId="00000019">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this Schedule applies</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comply with the provisions of this Schedule in relation to the assessment of the financial standing of the Monitored Companies and the consequences of a change to that financial standing.</w:t>
      </w:r>
    </w:p>
    <w:p w:rsidR="00000000" w:rsidDel="00000000" w:rsidP="00000000" w:rsidRDefault="00000000" w:rsidRPr="00000000" w14:paraId="0000001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terms of this Schedule shall survive: </w:t>
      </w:r>
    </w:p>
    <w:p w:rsidR="00000000" w:rsidDel="00000000" w:rsidP="00000000" w:rsidRDefault="00000000" w:rsidRPr="00000000" w14:paraId="0000001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rsidR="00000000" w:rsidDel="00000000" w:rsidP="00000000" w:rsidRDefault="00000000" w:rsidRPr="00000000" w14:paraId="0000001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Call-Off Contract until the termination or expiry of the Call-Off Contract.</w:t>
      </w:r>
    </w:p>
    <w:p w:rsidR="00000000" w:rsidDel="00000000" w:rsidP="00000000" w:rsidRDefault="00000000" w:rsidRPr="00000000" w14:paraId="0000001E">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happens when your credit rating changes</w:t>
      </w: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and represents to CCS that as at the Start Date the long term credit ratings issued for the Monitored Companies by each of the Rating Agencies are as set out in Annex 2. </w:t>
      </w:r>
    </w:p>
    <w:p w:rsidR="00000000" w:rsidDel="00000000" w:rsidP="00000000" w:rsidRDefault="00000000" w:rsidRPr="00000000" w14:paraId="0000002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(and in any event within five (5) Working Days) notify CCS in writing if there is any downgrade in the credit rating issued by any Rating Agency for a Monitored Company.</w:t>
      </w:r>
    </w:p>
    <w:p w:rsidR="00000000" w:rsidDel="00000000" w:rsidP="00000000" w:rsidRDefault="00000000" w:rsidRPr="00000000" w14:paraId="0000002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is any downgrade credit rating issued by any Rating Agency for the Monitored Company the Supplier shall ensure that the Monitored Company’s auditors thereafter provide CCS within 10 Working Days of the end of each Contract Year and within 10 Working Days of written request by CCS (such requests not to exceed 4 in any Contract Year) with written calculations of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check</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with Commercial Finance what provisions to make here – the quick ratio is not currently used] the quick ratio for the Monitored Company as at the end of each Contract Year or such other date as may be requested by CCS.  For these purposes the "quick ratio" on any date means:</w:t>
      </w:r>
    </w:p>
    <w:p w:rsidR="00000000" w:rsidDel="00000000" w:rsidP="00000000" w:rsidRDefault="00000000" w:rsidRPr="00000000" w14:paraId="00000022">
      <w:pPr>
        <w:pageBreakBefore w:val="0"/>
        <w:ind w:firstLine="1134"/>
        <w:jc w:val="left"/>
        <w:rPr>
          <w:rFonts w:ascii="Arial" w:cs="Arial" w:eastAsia="Arial" w:hAnsi="Arial"/>
          <w:sz w:val="24"/>
          <w:szCs w:val="24"/>
        </w:rPr>
      </w:pPr>
      <w:r w:rsidDel="00000000" w:rsidR="00000000" w:rsidRPr="00000000">
        <w:rPr>
          <w:rFonts w:ascii="Arial" w:cs="Arial" w:eastAsia="Arial" w:hAnsi="Arial"/>
          <w:sz w:val="24"/>
          <w:szCs w:val="24"/>
        </w:rPr>
        <w:drawing>
          <wp:inline distB="0" distT="0" distL="0" distR="0">
            <wp:extent cx="609600" cy="163195"/>
            <wp:effectExtent b="0" l="0" r="0" t="0"/>
            <wp:docPr id="4"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609600" cy="163195"/>
                    </a:xfrm>
                    <a:prstGeom prst="rect"/>
                    <a:ln/>
                  </pic:spPr>
                </pic:pic>
              </a:graphicData>
            </a:graphic>
          </wp:inline>
        </w:drawing>
      </w:r>
      <w:r w:rsidDel="00000000" w:rsidR="00000000" w:rsidRPr="00000000">
        <w:rPr>
          <w:rFonts w:ascii="Arial" w:cs="Arial" w:eastAsia="Arial" w:hAnsi="Arial"/>
          <w:sz w:val="24"/>
          <w:szCs w:val="24"/>
        </w:rPr>
        <w:drawing>
          <wp:inline distB="0" distT="0" distL="0" distR="0">
            <wp:extent cx="609600" cy="315595"/>
            <wp:effectExtent b="0" l="0" r="0" t="0"/>
            <wp:docPr id="5"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609600" cy="315595"/>
                    </a:xfrm>
                    <a:prstGeom prst="rect"/>
                    <a:ln/>
                  </pic:spPr>
                </pic:pic>
              </a:graphicData>
            </a:graphic>
          </wp:inline>
        </w:drawing>
      </w: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w:t>
      </w:r>
    </w:p>
    <w:tbl>
      <w:tblPr>
        <w:tblStyle w:val="Table2"/>
        <w:tblW w:w="8317.0" w:type="dxa"/>
        <w:jc w:val="left"/>
        <w:tblInd w:w="709.0" w:type="dxa"/>
        <w:tblLayout w:type="fixed"/>
        <w:tblLook w:val="0400"/>
      </w:tblPr>
      <w:tblGrid>
        <w:gridCol w:w="1524"/>
        <w:gridCol w:w="6793"/>
        <w:tblGridChange w:id="0">
          <w:tblGrid>
            <w:gridCol w:w="1524"/>
            <w:gridCol w:w="6793"/>
          </w:tblGrid>
        </w:tblGridChange>
      </w:tblGrid>
      <w:tr>
        <w:trPr>
          <w:cantSplit w:val="0"/>
          <w:tblHeader w:val="0"/>
        </w:trPr>
        <w:tc>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r>
          </w:p>
        </w:tc>
        <w:tc>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at the relevant date of all cash in hand and at the bank of the Monitored Company];</w:t>
            </w:r>
            <w:r w:rsidDel="00000000" w:rsidR="00000000" w:rsidRPr="00000000">
              <w:rPr>
                <w:rtl w:val="0"/>
              </w:rPr>
            </w:r>
          </w:p>
        </w:tc>
      </w:tr>
      <w:tr>
        <w:trPr>
          <w:cantSplit w:val="0"/>
          <w:tblHeader w:val="0"/>
        </w:trPr>
        <w:tc>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w:t>
            </w:r>
          </w:p>
        </w:tc>
        <w:tc>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of all marketable securities held by the Supplier the Monitored Company determined using closing prices on the Working Day preceding the relevant date; </w:t>
            </w:r>
          </w:p>
        </w:tc>
      </w:tr>
      <w:tr>
        <w:trPr>
          <w:cantSplit w:val="0"/>
          <w:tblHeader w:val="0"/>
        </w:trPr>
        <w:tc>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r>
          </w:p>
        </w:tc>
        <w:tc>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at the relevant date of all account receivables of the Monitored]; and</w:t>
            </w:r>
          </w:p>
        </w:tc>
      </w:tr>
      <w:tr>
        <w:trPr>
          <w:cantSplit w:val="0"/>
          <w:tblHeader w:val="0"/>
        </w:trPr>
        <w:tc>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w:t>
            </w:r>
          </w:p>
        </w:tc>
        <w:tc>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at the relevant date of the current liabilities of the Monitored Company].</w:t>
            </w:r>
          </w:p>
        </w:tc>
      </w:tr>
    </w:tbl>
    <w:p w:rsidR="00000000" w:rsidDel="00000000" w:rsidP="00000000" w:rsidRDefault="00000000" w:rsidRPr="00000000" w14:paraId="0000002C">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t>
      </w:r>
    </w:p>
    <w:p w:rsidR="00000000" w:rsidDel="00000000" w:rsidP="00000000" w:rsidRDefault="00000000" w:rsidRPr="00000000" w14:paraId="0000002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regularly monitor the credit ratings of each Monitored Company with the Rating Agencies; and </w:t>
      </w:r>
    </w:p>
    <w:p w:rsidR="00000000" w:rsidDel="00000000" w:rsidP="00000000" w:rsidRDefault="00000000" w:rsidRPr="00000000" w14:paraId="0000002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02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rsidR="00000000" w:rsidDel="00000000" w:rsidP="00000000" w:rsidRDefault="00000000" w:rsidRPr="00000000" w14:paraId="00000030">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financial distress event</w:t>
      </w: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 Financial Distress Event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4.3 to 4.6.</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6"/>
      <w:bookmarkEnd w:id="6"/>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delete this clause if there are no Key Subcontractors or the Key Subcontractors are not</w:t>
      </w:r>
      <w:bookmarkStart w:colFirst="0" w:colLast="0" w:name="bookmark=id.3dy6vkm"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Monitored Company]</w:t>
      </w:r>
    </w:p>
    <w:p w:rsidR="00000000" w:rsidDel="00000000" w:rsidP="00000000" w:rsidRDefault="00000000" w:rsidRPr="00000000" w14:paraId="0000003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a Financial Distress Event arises due to a Key Subcontractor notifying CCS that the Supplier has not satisfied any sums properly due under a specified invoice and not subject to a genuine dispute then, CCS shall not exercise any of its rights or remedies under Paragraph 4.3 without first giving the Supplier ten (10) Working Days to:</w:t>
      </w:r>
    </w:p>
    <w:p w:rsidR="00000000" w:rsidDel="00000000" w:rsidP="00000000" w:rsidRDefault="00000000" w:rsidRPr="00000000" w14:paraId="0000003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rectify such late or non-payment; or </w:t>
      </w:r>
    </w:p>
    <w:p w:rsidR="00000000" w:rsidDel="00000000" w:rsidP="00000000" w:rsidRDefault="00000000" w:rsidRPr="00000000" w14:paraId="0000003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demonstrate to CCS's reasonable satisfaction that there is a valid reason for late or non-payment.]</w:t>
      </w:r>
    </w:p>
    <w:p w:rsidR="00000000" w:rsidDel="00000000" w:rsidP="00000000" w:rsidRDefault="00000000" w:rsidRPr="00000000" w14:paraId="00000036">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the other Monitored Companies shall:</w:t>
      </w:r>
    </w:p>
    <w:p w:rsidR="00000000" w:rsidDel="00000000" w:rsidP="00000000" w:rsidRDefault="00000000" w:rsidRPr="00000000" w14:paraId="0000003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request of CCS meet CCS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Call-Off Contract; and</w:t>
      </w:r>
    </w:p>
    <w:p w:rsidR="00000000" w:rsidDel="00000000" w:rsidP="00000000" w:rsidRDefault="00000000" w:rsidRPr="00000000" w14:paraId="0000003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CCS reasonably believes (taking into account the discussions and any representations made under Paragraph 4.3.1) that the Financial Distress Event could impact on the continued performance of each Contract and delivery of the Deliverables in accordance with each Call-Off Contract: </w:t>
      </w:r>
    </w:p>
    <w:p w:rsidR="00000000" w:rsidDel="00000000" w:rsidP="00000000" w:rsidRDefault="00000000" w:rsidRPr="00000000" w14:paraId="00000039">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submit to CCS for its Approval, a draft Financial Distress Service Continuity Plan as soon as reasonably practicable (and in any event, within ten (10) Working Days of the initial notification (or awareness) of the Financial Distress Event); and</w:t>
      </w:r>
    </w:p>
    <w:p w:rsidR="00000000" w:rsidDel="00000000" w:rsidP="00000000" w:rsidRDefault="00000000" w:rsidRPr="00000000" w14:paraId="0000003A">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such financial information relating to the Monitored Company as CCS may reasonably require.</w:t>
      </w:r>
    </w:p>
    <w:p w:rsidR="00000000" w:rsidDel="00000000" w:rsidP="00000000" w:rsidRDefault="00000000" w:rsidRPr="00000000" w14:paraId="0000003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 This process shall be repeated until the Financial Distress Service Continuity Plan is Approved by CCS or referred to the Dispute Resolution Procedure.</w:t>
      </w:r>
    </w:p>
    <w:p w:rsidR="00000000" w:rsidDel="00000000" w:rsidP="00000000" w:rsidRDefault="00000000" w:rsidRPr="00000000" w14:paraId="0000003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rsidR="00000000" w:rsidDel="00000000" w:rsidP="00000000" w:rsidRDefault="00000000" w:rsidRPr="00000000" w14:paraId="0000003D">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the Financial Distress Service Continuity Plan by CCS, the Supplier shall:</w:t>
      </w:r>
    </w:p>
    <w:p w:rsidR="00000000" w:rsidDel="00000000" w:rsidP="00000000" w:rsidRDefault="00000000" w:rsidRPr="00000000" w14:paraId="0000003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a regular basis (which shall not be less than Monthly), review the Financial Distress Service Continuity Plan and assess whether it remains adequate and up to date to ensure the continued performance each Contract and delivery of the Deliverables in accordance with each Call-Off Contract;</w:t>
      </w:r>
    </w:p>
    <w:p w:rsidR="00000000" w:rsidDel="00000000" w:rsidP="00000000" w:rsidRDefault="00000000" w:rsidRPr="00000000" w14:paraId="0000003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 </w:t>
      </w:r>
    </w:p>
    <w:p w:rsidR="00000000" w:rsidDel="00000000" w:rsidP="00000000" w:rsidRDefault="00000000" w:rsidRPr="00000000" w14:paraId="0000004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Financial Distress Service Continuity Plan (including any updated Financial Distress Service Continuity Plan).</w:t>
      </w:r>
    </w:p>
    <w:p w:rsidR="00000000" w:rsidDel="00000000" w:rsidP="00000000" w:rsidRDefault="00000000" w:rsidRPr="00000000" w14:paraId="0000004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4.6. </w:t>
      </w:r>
    </w:p>
    <w:p w:rsidR="00000000" w:rsidDel="00000000" w:rsidP="00000000" w:rsidRDefault="00000000" w:rsidRPr="00000000" w14:paraId="0000004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be able to share any information it receives from the Buyer in accordance with this Paragraph with any Buyer who has entered into a Call-Off Contract with the Supplier.</w:t>
      </w:r>
    </w:p>
    <w:p w:rsidR="00000000" w:rsidDel="00000000" w:rsidP="00000000" w:rsidRDefault="00000000" w:rsidRPr="00000000" w14:paraId="00000043">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CCS or the Buyer can terminate for financial distress </w:t>
      </w:r>
      <w:r w:rsidDel="00000000" w:rsidR="00000000" w:rsidRPr="00000000">
        <w:rPr>
          <w:rtl w:val="0"/>
        </w:rPr>
      </w:r>
    </w:p>
    <w:p w:rsidR="00000000" w:rsidDel="00000000" w:rsidP="00000000" w:rsidRDefault="00000000" w:rsidRPr="00000000" w14:paraId="00000044">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be entitled to terminate this Contract and Buyers shall be entitled to terminate their Call-Off Contracts for material Default if: </w:t>
      </w:r>
    </w:p>
    <w:p w:rsidR="00000000" w:rsidDel="00000000" w:rsidP="00000000" w:rsidRDefault="00000000" w:rsidRPr="00000000" w14:paraId="0000004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notify CCS of a Financial Distress Event in accordance with Paragraph 3.4; </w:t>
      </w:r>
    </w:p>
    <w:p w:rsidR="00000000" w:rsidDel="00000000" w:rsidP="00000000" w:rsidRDefault="00000000" w:rsidRPr="00000000" w14:paraId="0000004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and the Supplier fail to agree a Financial Distress Service Continuity Plan (or any updated Financial Distress Service Continuity Plan) in accordance with Paragraphs 4.3 to 4.5; and/or</w:t>
      </w:r>
    </w:p>
    <w:p w:rsidR="00000000" w:rsidDel="00000000" w:rsidP="00000000" w:rsidRDefault="00000000" w:rsidRPr="00000000" w14:paraId="0000004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comply with the terms of the Financial Distress Service Continuity Plan (or any updated Financial Distress Service Continuity Plan) in accordance with Paragraph 4.6.3.</w:t>
      </w:r>
    </w:p>
    <w:p w:rsidR="00000000" w:rsidDel="00000000" w:rsidP="00000000" w:rsidRDefault="00000000" w:rsidRPr="00000000" w14:paraId="00000048">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Contract is terminated in accordance with Paragraph 5.1, Clauses 10.6.1 and 10.6.2 of the Core Terms shall apply as if the Contract had been terminated under Clause 10.4.1.</w:t>
      </w:r>
    </w:p>
    <w:p w:rsidR="00000000" w:rsidDel="00000000" w:rsidP="00000000" w:rsidRDefault="00000000" w:rsidRPr="00000000" w14:paraId="00000049">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your credit rating is still good</w:t>
      </w:r>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p>
    <w:p w:rsidR="00000000" w:rsidDel="00000000" w:rsidP="00000000" w:rsidRDefault="00000000" w:rsidRPr="00000000" w14:paraId="0000004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relieved automatically of its obligations under Paragraphs 4.3 to 4.6; and</w:t>
      </w:r>
    </w:p>
    <w:p w:rsidR="00000000" w:rsidDel="00000000" w:rsidP="00000000" w:rsidRDefault="00000000" w:rsidRPr="00000000" w14:paraId="0000004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not be entitled to require the Supplier to provide financial information in accordance with Paragraph 4.3.2(b). </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fffff"/>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E">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1y810tw" w:id="20"/>
      <w:bookmarkEnd w:id="20"/>
      <w:r w:rsidDel="00000000" w:rsidR="00000000" w:rsidRPr="00000000">
        <w:br w:type="page"/>
      </w:r>
      <w:r w:rsidDel="00000000" w:rsidR="00000000" w:rsidRPr="00000000">
        <w:rPr>
          <w:rtl w:val="0"/>
        </w:rPr>
      </w:r>
    </w:p>
    <w:p w:rsidR="00000000" w:rsidDel="00000000" w:rsidP="00000000" w:rsidRDefault="00000000" w:rsidRPr="00000000" w14:paraId="0000004F">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36"/>
          <w:szCs w:val="36"/>
          <w:u w:val="none"/>
          <w:shd w:fill="auto" w:val="clear"/>
          <w:vertAlign w:val="baseline"/>
        </w:rPr>
      </w:pPr>
      <w:bookmarkStart w:colFirst="0" w:colLast="0" w:name="_heading=h.4i7ojhp" w:id="21"/>
      <w:bookmarkEnd w:id="21"/>
      <w:r w:rsidDel="00000000" w:rsidR="00000000" w:rsidRPr="00000000">
        <w:rPr>
          <w:rFonts w:ascii="Arial" w:cs="Arial" w:eastAsia="Arial" w:hAnsi="Arial"/>
          <w:b w:val="1"/>
          <w:i w:val="0"/>
          <w:smallCaps w:val="1"/>
          <w:strike w:val="0"/>
          <w:color w:val="000000"/>
          <w:sz w:val="36"/>
          <w:szCs w:val="36"/>
          <w:u w:val="none"/>
          <w:shd w:fill="auto" w:val="clear"/>
          <w:vertAlign w:val="baseline"/>
          <w:rtl w:val="0"/>
        </w:rPr>
        <w:t xml:space="preserve">ANNEX 1: RATING AGENCIES</w:t>
      </w:r>
    </w:p>
    <w:p w:rsidR="00000000" w:rsidDel="00000000" w:rsidP="00000000" w:rsidRDefault="00000000" w:rsidRPr="00000000" w14:paraId="0000005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[Rating Agency 1]</w:t>
      </w:r>
    </w:p>
    <w:p w:rsidR="00000000" w:rsidDel="00000000" w:rsidP="00000000" w:rsidRDefault="00000000" w:rsidRPr="00000000" w14:paraId="0000005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[Rating Agency 2]</w:t>
      </w:r>
    </w:p>
    <w:p w:rsidR="00000000" w:rsidDel="00000000" w:rsidP="00000000" w:rsidRDefault="00000000" w:rsidRPr="00000000" w14:paraId="0000005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2xcytpi" w:id="22"/>
      <w:bookmarkEnd w:id="22"/>
      <w:r w:rsidDel="00000000" w:rsidR="00000000" w:rsidRPr="00000000">
        <w:br w:type="page"/>
      </w:r>
      <w:r w:rsidDel="00000000" w:rsidR="00000000" w:rsidRPr="00000000">
        <w:rPr>
          <w:rFonts w:ascii="Arial" w:cs="Arial" w:eastAsia="Arial" w:hAnsi="Arial"/>
          <w:b w:val="1"/>
          <w:i w:val="0"/>
          <w:smallCaps w:val="1"/>
          <w:strike w:val="0"/>
          <w:color w:val="000000"/>
          <w:sz w:val="36"/>
          <w:szCs w:val="36"/>
          <w:u w:val="none"/>
          <w:shd w:fill="auto" w:val="clear"/>
          <w:vertAlign w:val="baseline"/>
          <w:rtl w:val="0"/>
        </w:rPr>
        <w:t xml:space="preserve">ANNEX 2: CREDIT RATINGS &amp; CREDIT RATING THRESHOLDS</w:t>
      </w:r>
      <w:r w:rsidDel="00000000" w:rsidR="00000000" w:rsidRPr="00000000">
        <w:rPr>
          <w:rtl w:val="0"/>
        </w:rPr>
      </w:r>
    </w:p>
    <w:p w:rsidR="00000000" w:rsidDel="00000000" w:rsidP="00000000" w:rsidRDefault="00000000" w:rsidRPr="00000000" w14:paraId="00000053">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 1: Current Rating</w:t>
      </w:r>
      <w:r w:rsidDel="00000000" w:rsidR="00000000" w:rsidRPr="00000000">
        <w:rPr>
          <w:rtl w:val="0"/>
        </w:rPr>
      </w:r>
    </w:p>
    <w:tbl>
      <w:tblPr>
        <w:tblStyle w:val="Table3"/>
        <w:tblW w:w="6161.0" w:type="dxa"/>
        <w:jc w:val="left"/>
        <w:tblInd w:w="0.0" w:type="dxa"/>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tblGridChange w:id="0">
          <w:tblGrid>
            <w:gridCol w:w="3080"/>
            <w:gridCol w:w="3081"/>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054">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Entity</w:t>
            </w:r>
          </w:p>
        </w:tc>
        <w:tc>
          <w:tcPr>
            <w:tcBorders>
              <w:top w:color="000000" w:space="0" w:sz="4" w:val="single"/>
            </w:tcBorders>
            <w:shd w:fill="ffffff" w:val="clear"/>
          </w:tcPr>
          <w:p w:rsidR="00000000" w:rsidDel="00000000" w:rsidP="00000000" w:rsidRDefault="00000000" w:rsidRPr="00000000" w14:paraId="00000055">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(long term)</w:t>
            </w:r>
          </w:p>
        </w:tc>
      </w:tr>
      <w:tr>
        <w:trPr>
          <w:cantSplit w:val="0"/>
          <w:tblHeader w:val="0"/>
        </w:trPr>
        <w:tc>
          <w:tcPr>
            <w:shd w:fill="ffffff" w:val="clear"/>
          </w:tcPr>
          <w:p w:rsidR="00000000" w:rsidDel="00000000" w:rsidP="00000000" w:rsidRDefault="00000000" w:rsidRPr="00000000" w14:paraId="00000056">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w:t>
            </w:r>
          </w:p>
        </w:tc>
        <w:tc>
          <w:tcPr>
            <w:shd w:fill="ffffff" w:val="clear"/>
          </w:tcPr>
          <w:p w:rsidR="00000000" w:rsidDel="00000000" w:rsidP="00000000" w:rsidRDefault="00000000" w:rsidRPr="00000000" w14:paraId="0000005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[D&amp;B Threshold]</w:t>
            </w:r>
          </w:p>
        </w:tc>
      </w:tr>
      <w:tr>
        <w:trPr>
          <w:cantSplit w:val="0"/>
          <w:tblHeader w:val="0"/>
        </w:trPr>
        <w:tc>
          <w:tcPr>
            <w:shd w:fill="ffffff" w:val="clear"/>
          </w:tcPr>
          <w:p w:rsidR="00000000" w:rsidDel="00000000" w:rsidP="00000000" w:rsidRDefault="00000000" w:rsidRPr="00000000" w14:paraId="0000005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[Guarantor]</w:t>
            </w:r>
            <w:r w:rsidDel="00000000" w:rsidR="00000000" w:rsidRPr="00000000">
              <w:rPr>
                <w:rtl w:val="0"/>
              </w:rPr>
            </w:r>
          </w:p>
        </w:tc>
        <w:tc>
          <w:tcPr>
            <w:shd w:fill="ffffff" w:val="clear"/>
          </w:tcPr>
          <w:p w:rsidR="00000000" w:rsidDel="00000000" w:rsidP="00000000" w:rsidRDefault="00000000" w:rsidRPr="00000000" w14:paraId="0000005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05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[Key Subcontractor]</w:t>
            </w:r>
          </w:p>
        </w:tc>
        <w:tc>
          <w:tcPr>
            <w:tcBorders>
              <w:bottom w:color="000000" w:space="0" w:sz="4" w:val="single"/>
            </w:tcBorders>
            <w:shd w:fill="ffffff" w:val="clear"/>
          </w:tcPr>
          <w:p w:rsidR="00000000" w:rsidDel="00000000" w:rsidP="00000000" w:rsidRDefault="00000000" w:rsidRPr="00000000" w14:paraId="0000005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5C">
      <w:pPr>
        <w:pageBreakBefore w:val="0"/>
        <w:spacing w:after="0" w:lineRule="auto"/>
        <w:rPr>
          <w:rFonts w:ascii="Arial" w:cs="Arial" w:eastAsia="Arial" w:hAnsi="Arial"/>
          <w:sz w:val="24"/>
          <w:szCs w:val="24"/>
        </w:rPr>
      </w:pPr>
      <w:r w:rsidDel="00000000" w:rsidR="00000000" w:rsidRPr="00000000">
        <w:rPr>
          <w:rtl w:val="0"/>
        </w:rPr>
      </w:r>
    </w:p>
    <w:sectPr>
      <w:headerReference r:id="rId9" w:type="defaul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F">
    <w:pPr>
      <w:pageBreakBefore w:val="0"/>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1">
    <w:pPr>
      <w:pageBreakBefore w:val="0"/>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v3.5</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2">
    <w:pPr>
      <w:pageBreakBefore w:val="0"/>
      <w:tabs>
        <w:tab w:val="center" w:pos="4513"/>
        <w:tab w:val="right"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Calibri" w:cs="Calibri" w:eastAsia="Calibri" w:hAnsi="Calibri"/>
        <w:b w:val="0"/>
        <w:i w:val="0"/>
        <w:smallCaps w:val="0"/>
        <w:strike w:val="0"/>
        <w:color w:val="bfbfbf"/>
        <w:sz w:val="22"/>
        <w:szCs w:val="22"/>
        <w:u w:val="none"/>
        <w:shd w:fill="auto" w:val="clear"/>
        <w:vertAlign w:val="baseline"/>
        <w:rtl w:val="0"/>
      </w:rPr>
      <w:t xml:space="preserve">Project Version: v1.0</w:t>
      <w:tab/>
      <w:tab/>
      <w:tab/>
      <w:t xml:space="preserve"> </w:t>
    </w:r>
    <w:r w:rsidDel="00000000" w:rsidR="00000000" w:rsidRPr="00000000">
      <w:rPr>
        <w:rFonts w:ascii="Calibri" w:cs="Calibri" w:eastAsia="Calibri" w:hAnsi="Calibri"/>
        <w:b w:val="0"/>
        <w:i w:val="0"/>
        <w:smallCaps w:val="0"/>
        <w:strike w:val="0"/>
        <w:color w:val="bfbfbf"/>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4">
    <w:pPr>
      <w:pageBreakBefore w:val="0"/>
      <w:spacing w:after="0" w:lineRule="auto"/>
      <w:rPr>
        <w:rFonts w:ascii="Arial" w:cs="Arial" w:eastAsia="Arial" w:hAnsi="Arial"/>
        <w:color w:val="bfbfbf"/>
        <w:sz w:val="20"/>
        <w:szCs w:val="20"/>
      </w:rPr>
    </w:pPr>
    <w:r w:rsidDel="00000000" w:rsidR="00000000" w:rsidRPr="00000000">
      <w:rPr>
        <w:color w:val="bfbfbf"/>
        <w:rtl w:val="0"/>
      </w:rPr>
      <w:t xml:space="preserve">Model Version : v3.0</w:t>
      <w:tab/>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7 (Financial Difficulties)</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2"/>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ind w:left="2592" w:hanging="936"/>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qFormat w:val="1"/>
    <w:pPr>
      <w:numPr>
        <w:ilvl w:val="1"/>
      </w:numPr>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outlineLvl w:val="9"/>
    </w:p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paragraph" w:styleId="GPSmacrorestart" w:customStyle="1">
    <w:name w:val="GPS macro restart"/>
    <w:basedOn w:val="Normal"/>
    <w:qFormat w:val="1"/>
    <w:pPr>
      <w:spacing w:after="0"/>
    </w:pPr>
    <w:rPr>
      <w:color w:val="ffffff"/>
      <w:sz w:val="16"/>
      <w:szCs w:val="16"/>
    </w:rPr>
  </w:style>
  <w:style w:type="paragraph" w:styleId="GPSSchAnnexname" w:customStyle="1">
    <w:name w:val="GPS Sch Annex name"/>
    <w:basedOn w:val="Normal"/>
    <w:link w:val="GPSSchAnnexnameChar"/>
    <w:qFormat w:val="1"/>
    <w:pPr>
      <w:keepNext w:val="1"/>
      <w:overflowPunct w:val="1"/>
      <w:autoSpaceDE w:val="1"/>
      <w:autoSpaceDN w:val="1"/>
      <w:ind w:firstLine="426"/>
      <w:jc w:val="center"/>
      <w:textAlignment w:val="auto"/>
      <w:outlineLvl w:val="1"/>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3IndentChar" w:customStyle="1">
    <w:name w:val="GPS L3 Indent Char"/>
    <w:link w:val="GPSL3Indent"/>
    <w:locked w:val="1"/>
    <w:rPr>
      <w:rFonts w:ascii="Calibri" w:cs="Arial" w:eastAsia="Times New Roman" w:hAnsi="Calibri"/>
      <w:lang w:eastAsia="zh-CN" w:val="en-US"/>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2IndentChar" w:customStyle="1">
    <w:name w:val="GPS L2 Indent Char"/>
    <w:link w:val="GPSL2Indent"/>
    <w:rPr>
      <w:rFonts w:ascii="Calibri" w:cs="Arial" w:eastAsia="Times New Roman" w:hAnsi="Calibri"/>
      <w:szCs w:val="24"/>
    </w:rPr>
  </w:style>
  <w:style w:type="character" w:styleId="GPSSchAnnexnameChar" w:customStyle="1">
    <w:name w:val="GPS Sch Annex name Char"/>
    <w:link w:val="GPSSchAnnexname"/>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Hyperlink">
    <w:name w:val="Hyperlink"/>
    <w:basedOn w:val="DefaultParagraphFont"/>
    <w:uiPriority w:val="99"/>
    <w:semiHidden w:val="1"/>
    <w:unhideWhenUsed w:val="1"/>
    <w:rPr>
      <w:color w:val="0000ff"/>
      <w:u w:val="single"/>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p2TlNkfAqw50cj7QtZEE0cBeIew==">AMUW2mVV5KyT7+sgjrSWeYV6Ni/ispLmGoO1l76cNl6CU6JqjyphQb5MS02EziAaVr3AlBb+KTdD2uXz9YO9CLAWaILggc6jR/SLDY7MJq99t2Q9PfxluGH/VG9gF3Cm27x2njlazobwmKfH/VEcv0w4GQmKYQ6Zypc/CH6Rw1Y+TiDj8ewYP2019kop5TvCmsz5OIe/nhwcGR+KWU5N4Z5o//1VWbMmfz77lrYzE7PEpYaGcQEdfr5hB0UpoiUuyR0J/g2Fxn72tXhWi0NtrCARTxVmVIpRKkICVFYFh6ynepZwLPGRxaEo+4Bfij9dDkGMa71Vvf6VWEXuJjgbpv54O+4Hn61R998azRWCKeBUqy7P8buaaANNZDDrXNH3a08Zo93UgJMzZBQa9nM0aICLN/uNJNtRSWcXtAkBkaKbwqJJ/Gev7tgVLo1T+kjbzip+SjCTGxr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2020-09-02T11:56:00Z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